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54E8B9" w14:textId="48169375" w:rsidR="0071008E" w:rsidRDefault="00EB31B4">
      <w:pPr>
        <w:pStyle w:val="Normal1"/>
        <w:jc w:val="right"/>
      </w:pPr>
      <w:r>
        <w:rPr>
          <w:noProof/>
        </w:rPr>
        <w:drawing>
          <wp:inline distT="0" distB="0" distL="0" distR="0" wp14:anchorId="2523B903" wp14:editId="6E45CE4D">
            <wp:extent cx="1257300" cy="108546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G_main300dpi-e1496944610869-300x259.jpg"/>
                    <pic:cNvPicPr/>
                  </pic:nvPicPr>
                  <pic:blipFill>
                    <a:blip r:embed="rId7"/>
                    <a:stretch>
                      <a:fillRect/>
                    </a:stretch>
                  </pic:blipFill>
                  <pic:spPr>
                    <a:xfrm>
                      <a:off x="0" y="0"/>
                      <a:ext cx="1266613" cy="1093508"/>
                    </a:xfrm>
                    <a:prstGeom prst="rect">
                      <a:avLst/>
                    </a:prstGeom>
                  </pic:spPr>
                </pic:pic>
              </a:graphicData>
            </a:graphic>
          </wp:inline>
        </w:drawing>
      </w:r>
    </w:p>
    <w:p w14:paraId="7F70C05E" w14:textId="77777777" w:rsidR="0071008E" w:rsidRDefault="00635795" w:rsidP="00031EBF">
      <w:pPr>
        <w:pStyle w:val="Heading1"/>
      </w:pPr>
      <w:r>
        <w:t>Information Literacy Group Research Bursaries: notes</w:t>
      </w:r>
    </w:p>
    <w:p w14:paraId="07312460" w14:textId="50D56E17" w:rsidR="0071008E" w:rsidRDefault="002B4B09">
      <w:pPr>
        <w:pStyle w:val="Normal1"/>
      </w:pPr>
      <w:r w:rsidRPr="004E00C8">
        <w:rPr>
          <w:b/>
        </w:rPr>
        <w:t>NOTE:</w:t>
      </w:r>
      <w:r>
        <w:t xml:space="preserve"> New research priorities in Appendix 1</w:t>
      </w:r>
    </w:p>
    <w:p w14:paraId="1228BD39" w14:textId="77777777" w:rsidR="002B4B09" w:rsidRDefault="002B4B09">
      <w:pPr>
        <w:pStyle w:val="Normal1"/>
      </w:pPr>
    </w:p>
    <w:p w14:paraId="034D1A65" w14:textId="77777777" w:rsidR="0071008E" w:rsidRDefault="00635795" w:rsidP="00031EBF">
      <w:pPr>
        <w:pStyle w:val="Heading2"/>
      </w:pPr>
      <w:r>
        <w:t>Introduction</w:t>
      </w:r>
    </w:p>
    <w:p w14:paraId="3FFA4BEA" w14:textId="0F437D70" w:rsidR="0071008E" w:rsidRDefault="00635795">
      <w:pPr>
        <w:pStyle w:val="Normal1"/>
      </w:pPr>
      <w:r>
        <w:rPr>
          <w:rFonts w:ascii="Calibri" w:eastAsia="Calibri" w:hAnsi="Calibri" w:cs="Calibri"/>
        </w:rPr>
        <w:t xml:space="preserve">Research into the effectiveness of IL is published fairly widely.  Numerous library journals publish articles on IL in different sectors for example, </w:t>
      </w:r>
      <w:r>
        <w:rPr>
          <w:rFonts w:ascii="Calibri" w:eastAsia="Calibri" w:hAnsi="Calibri" w:cs="Calibri"/>
          <w:i/>
        </w:rPr>
        <w:t>Communications in information Literacy</w:t>
      </w:r>
      <w:r>
        <w:rPr>
          <w:rFonts w:ascii="Calibri" w:eastAsia="Calibri" w:hAnsi="Calibri" w:cs="Calibri"/>
        </w:rPr>
        <w:t xml:space="preserve">, </w:t>
      </w:r>
      <w:r>
        <w:rPr>
          <w:rFonts w:ascii="Calibri" w:eastAsia="Calibri" w:hAnsi="Calibri" w:cs="Calibri"/>
          <w:i/>
        </w:rPr>
        <w:t>Journal of Information Literacy</w:t>
      </w:r>
      <w:r>
        <w:rPr>
          <w:rFonts w:ascii="Calibri" w:eastAsia="Calibri" w:hAnsi="Calibri" w:cs="Calibri"/>
        </w:rPr>
        <w:t xml:space="preserve">, </w:t>
      </w:r>
      <w:r>
        <w:rPr>
          <w:rFonts w:ascii="Calibri" w:eastAsia="Calibri" w:hAnsi="Calibri" w:cs="Calibri"/>
          <w:i/>
        </w:rPr>
        <w:t>Journal of Librarianship and information Science</w:t>
      </w:r>
      <w:r>
        <w:rPr>
          <w:rFonts w:ascii="Calibri" w:eastAsia="Calibri" w:hAnsi="Calibri" w:cs="Calibri"/>
        </w:rPr>
        <w:t xml:space="preserve"> and </w:t>
      </w:r>
      <w:r>
        <w:rPr>
          <w:rFonts w:ascii="Calibri" w:eastAsia="Calibri" w:hAnsi="Calibri" w:cs="Calibri"/>
          <w:i/>
        </w:rPr>
        <w:t>Journal of Documentation</w:t>
      </w:r>
      <w:r>
        <w:rPr>
          <w:rFonts w:ascii="Calibri" w:eastAsia="Calibri" w:hAnsi="Calibri" w:cs="Calibri"/>
        </w:rPr>
        <w:t xml:space="preserve">.  However, there are pockets of IL research which have either not taken place at all or have not reached beyond the academic domain. These areas include for example, research in the third sector, various aspects of the workplace, citizenship and so on.  </w:t>
      </w:r>
    </w:p>
    <w:p w14:paraId="003F24D5" w14:textId="77777777" w:rsidR="0071008E" w:rsidRDefault="0071008E">
      <w:pPr>
        <w:pStyle w:val="Normal1"/>
      </w:pPr>
    </w:p>
    <w:p w14:paraId="1174BB2D" w14:textId="39CF3521" w:rsidR="0071008E" w:rsidRDefault="00635795">
      <w:pPr>
        <w:pStyle w:val="Normal1"/>
      </w:pPr>
      <w:r>
        <w:rPr>
          <w:rFonts w:ascii="Calibri" w:eastAsia="Calibri" w:hAnsi="Calibri" w:cs="Calibri"/>
        </w:rPr>
        <w:t>We would like to fill some of those gaps and to do this we are seeking imaginative proposals which have the potential for h</w:t>
      </w:r>
      <w:r w:rsidR="00944702">
        <w:rPr>
          <w:rFonts w:ascii="Calibri" w:eastAsia="Calibri" w:hAnsi="Calibri" w:cs="Calibri"/>
        </w:rPr>
        <w:t>igh impact</w:t>
      </w:r>
      <w:r>
        <w:rPr>
          <w:rFonts w:ascii="Calibri" w:eastAsia="Calibri" w:hAnsi="Calibri" w:cs="Calibri"/>
        </w:rPr>
        <w:t xml:space="preserve"> </w:t>
      </w:r>
      <w:r w:rsidR="00536DDC">
        <w:rPr>
          <w:rFonts w:ascii="Calibri" w:eastAsia="Calibri" w:hAnsi="Calibri" w:cs="Calibri"/>
        </w:rPr>
        <w:t xml:space="preserve">beyond </w:t>
      </w:r>
      <w:r>
        <w:rPr>
          <w:rFonts w:ascii="Calibri" w:eastAsia="Calibri" w:hAnsi="Calibri" w:cs="Calibri"/>
        </w:rPr>
        <w:t>HE and librarianship. See Appendix 1 for a list of suggested areas of possible research.</w:t>
      </w:r>
      <w:r w:rsidR="00944702">
        <w:rPr>
          <w:rFonts w:ascii="Calibri" w:eastAsia="Calibri" w:hAnsi="Calibri" w:cs="Calibri"/>
        </w:rPr>
        <w:t xml:space="preserve">  It should be noted that the principal investigator (the person that leads the research) must be a member of </w:t>
      </w:r>
      <w:r w:rsidR="00D73BD4">
        <w:rPr>
          <w:rFonts w:ascii="Calibri" w:eastAsia="Calibri" w:hAnsi="Calibri" w:cs="Calibri"/>
        </w:rPr>
        <w:t>the Information Literacy Group (ILG)</w:t>
      </w:r>
      <w:r w:rsidR="00944702">
        <w:rPr>
          <w:rFonts w:ascii="Calibri" w:eastAsia="Calibri" w:hAnsi="Calibri" w:cs="Calibri"/>
        </w:rPr>
        <w:t>.</w:t>
      </w:r>
    </w:p>
    <w:p w14:paraId="463D5EE0" w14:textId="77777777" w:rsidR="0071008E" w:rsidRDefault="0071008E">
      <w:pPr>
        <w:pStyle w:val="Normal1"/>
      </w:pPr>
    </w:p>
    <w:p w14:paraId="3B6DA20E" w14:textId="77777777" w:rsidR="0071008E" w:rsidRDefault="00635795" w:rsidP="00031EBF">
      <w:pPr>
        <w:pStyle w:val="Heading2"/>
      </w:pPr>
      <w:r>
        <w:t>Research support</w:t>
      </w:r>
    </w:p>
    <w:p w14:paraId="77EEC79A" w14:textId="6D29956F" w:rsidR="0071008E" w:rsidRDefault="00635795">
      <w:pPr>
        <w:pStyle w:val="Normal1"/>
      </w:pPr>
      <w:r>
        <w:rPr>
          <w:rFonts w:ascii="Calibri" w:eastAsia="Calibri" w:hAnsi="Calibri" w:cs="Calibri"/>
        </w:rPr>
        <w:t>The CILIP IL Group is proposing to fund high quality research through an annual bursary scheme.  This funding is not designed to replace/ complement existing academic researchers (i.e. those funded to do MAs, MScs or PhDs) but more to support practitioners to gather evidence or conduct action/field research to support well framed research question</w:t>
      </w:r>
      <w:r w:rsidR="00A92690">
        <w:rPr>
          <w:rFonts w:ascii="Calibri" w:eastAsia="Calibri" w:hAnsi="Calibri" w:cs="Calibri"/>
        </w:rPr>
        <w:t>s</w:t>
      </w:r>
      <w:r>
        <w:rPr>
          <w:rFonts w:ascii="Calibri" w:eastAsia="Calibri" w:hAnsi="Calibri" w:cs="Calibri"/>
        </w:rPr>
        <w:t xml:space="preserve">. </w:t>
      </w:r>
    </w:p>
    <w:p w14:paraId="1E6C5AF4" w14:textId="6CA0F0C6" w:rsidR="0071008E" w:rsidRDefault="00635795">
      <w:pPr>
        <w:pStyle w:val="Normal1"/>
      </w:pPr>
      <w:r>
        <w:rPr>
          <w:rFonts w:ascii="Calibri" w:eastAsia="Calibri" w:hAnsi="Calibri" w:cs="Calibri"/>
        </w:rPr>
        <w:t>Methodological strategies can be either qualitative or quantitative or both.  Approaches can range from small scale action research to larger scale quantitative studies</w:t>
      </w:r>
      <w:r w:rsidR="006E75CA">
        <w:rPr>
          <w:rFonts w:ascii="Calibri" w:eastAsia="Calibri" w:hAnsi="Calibri" w:cs="Calibri"/>
        </w:rPr>
        <w:t xml:space="preserve"> (or a mixture of the two)</w:t>
      </w:r>
      <w:r>
        <w:rPr>
          <w:rFonts w:ascii="Calibri" w:eastAsia="Calibri" w:hAnsi="Calibri" w:cs="Calibri"/>
        </w:rPr>
        <w:t>.</w:t>
      </w:r>
    </w:p>
    <w:p w14:paraId="3DEA0DCB" w14:textId="77777777" w:rsidR="0071008E" w:rsidRDefault="0071008E">
      <w:pPr>
        <w:pStyle w:val="Normal1"/>
      </w:pPr>
    </w:p>
    <w:p w14:paraId="572005B4" w14:textId="77777777" w:rsidR="0071008E" w:rsidRDefault="00635795">
      <w:pPr>
        <w:pStyle w:val="Normal1"/>
      </w:pPr>
      <w:r>
        <w:rPr>
          <w:rFonts w:ascii="Calibri" w:eastAsia="Calibri" w:hAnsi="Calibri" w:cs="Calibri"/>
        </w:rPr>
        <w:t xml:space="preserve">To make sure that your research is well structured we recommend that you include an experienced researcher in your team, or show that there is research support in your institution. This support would need to be clearly outlined in any applications.  </w:t>
      </w:r>
    </w:p>
    <w:p w14:paraId="0287A5E2" w14:textId="77777777" w:rsidR="0071008E" w:rsidRDefault="0071008E">
      <w:pPr>
        <w:pStyle w:val="Normal1"/>
      </w:pPr>
    </w:p>
    <w:p w14:paraId="28F37A43" w14:textId="77777777" w:rsidR="0071008E" w:rsidRDefault="00635795">
      <w:pPr>
        <w:pStyle w:val="Normal1"/>
      </w:pPr>
      <w:r>
        <w:rPr>
          <w:rFonts w:ascii="Calibri" w:eastAsia="Calibri" w:hAnsi="Calibri" w:cs="Calibri"/>
        </w:rPr>
        <w:t xml:space="preserve">The ILG will put out a call for project proposals each year and will cover both desk research (systematic reviews of the literature) and action/field research to cover one of the topics below.  ILG members and </w:t>
      </w:r>
      <w:r>
        <w:rPr>
          <w:rFonts w:ascii="Calibri" w:eastAsia="Calibri" w:hAnsi="Calibri" w:cs="Calibri"/>
        </w:rPr>
        <w:lastRenderedPageBreak/>
        <w:t xml:space="preserve">external reviewers (IL researchers and expert critical friends) will review each application, using the criteria listed below, to ensure that funding is awarded appropriately.  </w:t>
      </w:r>
    </w:p>
    <w:p w14:paraId="1FA627CC" w14:textId="77777777" w:rsidR="0071008E" w:rsidRDefault="0071008E">
      <w:pPr>
        <w:pStyle w:val="Normal1"/>
      </w:pPr>
    </w:p>
    <w:p w14:paraId="44518437" w14:textId="77777777" w:rsidR="0071008E" w:rsidRDefault="00635795" w:rsidP="00031EBF">
      <w:pPr>
        <w:pStyle w:val="Heading2"/>
      </w:pPr>
      <w:r>
        <w:t>Funding</w:t>
      </w:r>
    </w:p>
    <w:p w14:paraId="064A1A49" w14:textId="016C4A84" w:rsidR="0071008E" w:rsidRPr="00455C41" w:rsidRDefault="00455C41" w:rsidP="00455C41">
      <w:pPr>
        <w:rPr>
          <w:rFonts w:ascii="Calibri" w:eastAsia="Calibri" w:hAnsi="Calibri" w:cs="Calibri"/>
          <w:color w:val="000000"/>
        </w:rPr>
      </w:pPr>
      <w:r w:rsidRPr="00455C41">
        <w:rPr>
          <w:rFonts w:ascii="Calibri" w:eastAsia="Calibri" w:hAnsi="Calibri" w:cs="Calibri"/>
          <w:color w:val="000000"/>
        </w:rPr>
        <w:t>A total of up to £20,000 is available for Research Bursaries each year, and applications are now being taken for the 2018 round. The deadline for bids is</w:t>
      </w:r>
      <w:r>
        <w:rPr>
          <w:rFonts w:ascii="Calibri" w:eastAsia="Calibri" w:hAnsi="Calibri" w:cs="Calibri"/>
          <w:color w:val="000000"/>
        </w:rPr>
        <w:t xml:space="preserve"> 5pm BST, Friday 1st June 2018</w:t>
      </w:r>
      <w:r w:rsidR="00635795">
        <w:rPr>
          <w:rFonts w:ascii="Calibri" w:eastAsia="Calibri" w:hAnsi="Calibri" w:cs="Calibri"/>
        </w:rPr>
        <w:t xml:space="preserve">. The bursary might be used, for example, to pay for staff to be released to work on a research </w:t>
      </w:r>
      <w:r w:rsidR="00635795" w:rsidRPr="00086F65">
        <w:rPr>
          <w:rFonts w:ascii="Calibri" w:eastAsia="Calibri" w:hAnsi="Calibri" w:cs="Calibri"/>
          <w:lang w:val="en-GB"/>
        </w:rPr>
        <w:t>project</w:t>
      </w:r>
      <w:r w:rsidR="00635795">
        <w:rPr>
          <w:rFonts w:ascii="Calibri" w:eastAsia="Calibri" w:hAnsi="Calibri" w:cs="Calibri"/>
        </w:rPr>
        <w:t xml:space="preserve"> by funding appropriate cover for unpaid leave (2-3 months).  Half the funding would be presented at beginning of project and the other half upon successful completion of measurable objectives. Different modes of research may attract different levels of funding for example, a literature review may attract a lower tier of funding (£2,50</w:t>
      </w:r>
      <w:r w:rsidR="00E96BE7">
        <w:rPr>
          <w:rFonts w:ascii="Calibri" w:eastAsia="Calibri" w:hAnsi="Calibri" w:cs="Calibri"/>
        </w:rPr>
        <w:t>0) and field work</w:t>
      </w:r>
      <w:r w:rsidR="00635795">
        <w:rPr>
          <w:rFonts w:ascii="Calibri" w:eastAsia="Calibri" w:hAnsi="Calibri" w:cs="Calibri"/>
        </w:rPr>
        <w:t xml:space="preserve"> could range from £5,000 to a maximum of £10,000.</w:t>
      </w:r>
    </w:p>
    <w:p w14:paraId="63DF1000" w14:textId="77777777" w:rsidR="0071008E" w:rsidRDefault="0071008E">
      <w:pPr>
        <w:pStyle w:val="Normal1"/>
      </w:pPr>
      <w:bookmarkStart w:id="0" w:name="_GoBack"/>
      <w:bookmarkEnd w:id="0"/>
    </w:p>
    <w:p w14:paraId="7F75B3A7" w14:textId="77777777" w:rsidR="0071008E" w:rsidRDefault="00635795">
      <w:pPr>
        <w:pStyle w:val="Normal1"/>
      </w:pPr>
      <w:r>
        <w:rPr>
          <w:rFonts w:ascii="Calibri" w:eastAsia="Calibri" w:hAnsi="Calibri" w:cs="Calibri"/>
        </w:rPr>
        <w:t>The successful candidates would be expected to fulfill the following criteria:</w:t>
      </w:r>
    </w:p>
    <w:p w14:paraId="6179FDD5" w14:textId="77777777" w:rsidR="0071008E" w:rsidRDefault="0071008E">
      <w:pPr>
        <w:pStyle w:val="Normal1"/>
      </w:pPr>
    </w:p>
    <w:p w14:paraId="200BD170" w14:textId="77777777" w:rsidR="0071008E" w:rsidRDefault="00635795" w:rsidP="00B2459D">
      <w:pPr>
        <w:pStyle w:val="Normal1"/>
        <w:numPr>
          <w:ilvl w:val="0"/>
          <w:numId w:val="5"/>
        </w:numPr>
        <w:ind w:left="714" w:hanging="357"/>
      </w:pPr>
      <w:r>
        <w:rPr>
          <w:rFonts w:ascii="Calibri" w:eastAsia="Calibri" w:hAnsi="Calibri" w:cs="Calibri"/>
        </w:rPr>
        <w:t xml:space="preserve">produce a project plan with milestones and simple Gantt chart in accordance with ILG funders' deadlines (this is to reassure the reviewers that you have a realistic idea of how the project will be achieved). </w:t>
      </w:r>
    </w:p>
    <w:p w14:paraId="006E6F3D" w14:textId="77777777" w:rsidR="0071008E" w:rsidRDefault="00635795" w:rsidP="00B2459D">
      <w:pPr>
        <w:pStyle w:val="Normal1"/>
        <w:numPr>
          <w:ilvl w:val="0"/>
          <w:numId w:val="5"/>
        </w:numPr>
        <w:ind w:left="714" w:hanging="357"/>
      </w:pPr>
      <w:r>
        <w:rPr>
          <w:rFonts w:ascii="Calibri" w:eastAsia="Calibri" w:hAnsi="Calibri" w:cs="Calibri"/>
        </w:rPr>
        <w:t xml:space="preserve">You should include a stakeholder analysis in your project plan and a risk assessment statement. </w:t>
      </w:r>
    </w:p>
    <w:p w14:paraId="27AE1775" w14:textId="77777777" w:rsidR="0071008E" w:rsidRDefault="00635795" w:rsidP="00B2459D">
      <w:pPr>
        <w:pStyle w:val="Normal1"/>
        <w:numPr>
          <w:ilvl w:val="0"/>
          <w:numId w:val="5"/>
        </w:numPr>
        <w:ind w:left="714" w:hanging="357"/>
      </w:pPr>
      <w:r>
        <w:rPr>
          <w:rFonts w:ascii="Calibri" w:eastAsia="Calibri" w:hAnsi="Calibri" w:cs="Calibri"/>
        </w:rPr>
        <w:t>produce a clear plan with SMART objectives (specific, measurable, achievable, relevant and timely) that meet funders' criteria.</w:t>
      </w:r>
    </w:p>
    <w:p w14:paraId="5CC6A1FE" w14:textId="77777777" w:rsidR="0071008E" w:rsidRDefault="00635795" w:rsidP="00B2459D">
      <w:pPr>
        <w:pStyle w:val="Normal1"/>
        <w:numPr>
          <w:ilvl w:val="0"/>
          <w:numId w:val="5"/>
        </w:numPr>
        <w:ind w:left="714" w:hanging="357"/>
      </w:pPr>
      <w:r>
        <w:rPr>
          <w:rFonts w:ascii="Calibri" w:eastAsia="Calibri" w:hAnsi="Calibri" w:cs="Calibri"/>
        </w:rPr>
        <w:t xml:space="preserve">demonstrate how the research will be disseminated (See Appendix 2 for examples of what a well thought out strategy might include) </w:t>
      </w:r>
    </w:p>
    <w:p w14:paraId="4B418558" w14:textId="77777777" w:rsidR="0071008E" w:rsidRDefault="00635795" w:rsidP="00B2459D">
      <w:pPr>
        <w:pStyle w:val="Normal1"/>
        <w:numPr>
          <w:ilvl w:val="0"/>
          <w:numId w:val="5"/>
        </w:numPr>
        <w:ind w:left="714" w:hanging="357"/>
      </w:pPr>
      <w:r>
        <w:rPr>
          <w:rFonts w:ascii="Calibri" w:eastAsia="Calibri" w:hAnsi="Calibri" w:cs="Calibri"/>
        </w:rPr>
        <w:t>Provide an evaluation strategy. This is to ensure that you have thought about how the project is progressing and meeting your aims and objectives</w:t>
      </w:r>
    </w:p>
    <w:p w14:paraId="2BA57110" w14:textId="77777777" w:rsidR="0071008E" w:rsidRDefault="00635795" w:rsidP="00B2459D">
      <w:pPr>
        <w:pStyle w:val="Normal1"/>
        <w:numPr>
          <w:ilvl w:val="0"/>
          <w:numId w:val="5"/>
        </w:numPr>
        <w:ind w:left="714" w:hanging="357"/>
      </w:pPr>
      <w:r>
        <w:rPr>
          <w:rFonts w:ascii="Calibri" w:eastAsia="Calibri" w:hAnsi="Calibri" w:cs="Calibri"/>
        </w:rPr>
        <w:t xml:space="preserve">release any outputs using Creative Commons </w:t>
      </w:r>
      <w:proofErr w:type="spellStart"/>
      <w:r>
        <w:rPr>
          <w:rFonts w:ascii="Calibri" w:eastAsia="Calibri" w:hAnsi="Calibri" w:cs="Calibri"/>
        </w:rPr>
        <w:t>licences</w:t>
      </w:r>
      <w:proofErr w:type="spellEnd"/>
      <w:r>
        <w:rPr>
          <w:rFonts w:ascii="Calibri" w:eastAsia="Calibri" w:hAnsi="Calibri" w:cs="Calibri"/>
        </w:rPr>
        <w:t xml:space="preserve"> either through </w:t>
      </w:r>
      <w:proofErr w:type="spellStart"/>
      <w:r>
        <w:rPr>
          <w:rFonts w:ascii="Calibri" w:eastAsia="Calibri" w:hAnsi="Calibri" w:cs="Calibri"/>
        </w:rPr>
        <w:t>CoPILOT</w:t>
      </w:r>
      <w:proofErr w:type="spellEnd"/>
      <w:r>
        <w:rPr>
          <w:rFonts w:ascii="Calibri" w:eastAsia="Calibri" w:hAnsi="Calibri" w:cs="Calibri"/>
        </w:rPr>
        <w:t>, Jorum or another appropriate location (this is to make sure that any outputs can be used by the widest possible audience)</w:t>
      </w:r>
    </w:p>
    <w:p w14:paraId="04EF4277" w14:textId="77777777" w:rsidR="0071008E" w:rsidRDefault="0071008E">
      <w:pPr>
        <w:pStyle w:val="Normal1"/>
      </w:pPr>
    </w:p>
    <w:p w14:paraId="69D585ED" w14:textId="77777777" w:rsidR="0071008E" w:rsidRDefault="00635795" w:rsidP="00031EBF">
      <w:pPr>
        <w:pStyle w:val="Heading2"/>
      </w:pPr>
      <w:r>
        <w:t>Criteria</w:t>
      </w:r>
    </w:p>
    <w:p w14:paraId="3F7FC5DD" w14:textId="77777777" w:rsidR="0071008E" w:rsidRDefault="00635795">
      <w:pPr>
        <w:pStyle w:val="Normal1"/>
      </w:pPr>
      <w:r>
        <w:rPr>
          <w:rFonts w:ascii="Calibri" w:eastAsia="Calibri" w:hAnsi="Calibri" w:cs="Calibri"/>
        </w:rPr>
        <w:t>Proposals are more likely to receive funding if they contain the following:</w:t>
      </w:r>
    </w:p>
    <w:p w14:paraId="23D6974A" w14:textId="77777777" w:rsidR="0071008E" w:rsidRDefault="0071008E">
      <w:pPr>
        <w:pStyle w:val="Normal1"/>
      </w:pPr>
    </w:p>
    <w:p w14:paraId="7A76A9DA" w14:textId="77777777" w:rsidR="0071008E" w:rsidRDefault="00635795">
      <w:pPr>
        <w:pStyle w:val="Normal1"/>
        <w:numPr>
          <w:ilvl w:val="1"/>
          <w:numId w:val="3"/>
        </w:numPr>
        <w:spacing w:line="480" w:lineRule="auto"/>
        <w:ind w:left="714" w:hanging="356"/>
      </w:pPr>
      <w:r>
        <w:rPr>
          <w:rFonts w:ascii="Calibri" w:eastAsia="Calibri" w:hAnsi="Calibri" w:cs="Calibri"/>
        </w:rPr>
        <w:t>A well thought out methodology</w:t>
      </w:r>
    </w:p>
    <w:p w14:paraId="355F0456" w14:textId="77777777" w:rsidR="0071008E" w:rsidRDefault="00635795">
      <w:pPr>
        <w:pStyle w:val="Normal1"/>
        <w:numPr>
          <w:ilvl w:val="1"/>
          <w:numId w:val="3"/>
        </w:numPr>
        <w:spacing w:line="480" w:lineRule="auto"/>
        <w:ind w:left="714" w:hanging="356"/>
      </w:pPr>
      <w:r>
        <w:rPr>
          <w:rFonts w:ascii="Calibri" w:eastAsia="Calibri" w:hAnsi="Calibri" w:cs="Calibri"/>
        </w:rPr>
        <w:t>A clear project plan, objectives and milestones</w:t>
      </w:r>
    </w:p>
    <w:p w14:paraId="19361FB3" w14:textId="77777777" w:rsidR="0071008E" w:rsidRDefault="00635795">
      <w:pPr>
        <w:pStyle w:val="Normal1"/>
        <w:numPr>
          <w:ilvl w:val="1"/>
          <w:numId w:val="3"/>
        </w:numPr>
        <w:spacing w:line="480" w:lineRule="auto"/>
        <w:ind w:left="714" w:hanging="356"/>
      </w:pPr>
      <w:r>
        <w:rPr>
          <w:rFonts w:ascii="Calibri" w:eastAsia="Calibri" w:hAnsi="Calibri" w:cs="Calibri"/>
        </w:rPr>
        <w:lastRenderedPageBreak/>
        <w:t>An effective dissemination strategy</w:t>
      </w:r>
    </w:p>
    <w:p w14:paraId="4C6AE24E" w14:textId="77777777" w:rsidR="0071008E" w:rsidRDefault="00635795">
      <w:pPr>
        <w:pStyle w:val="Normal1"/>
        <w:numPr>
          <w:ilvl w:val="1"/>
          <w:numId w:val="3"/>
        </w:numPr>
        <w:spacing w:line="480" w:lineRule="auto"/>
        <w:ind w:left="714" w:hanging="356"/>
      </w:pPr>
      <w:r>
        <w:rPr>
          <w:rFonts w:ascii="Calibri" w:eastAsia="Calibri" w:hAnsi="Calibri" w:cs="Calibri"/>
        </w:rPr>
        <w:t>An evaluation strategy</w:t>
      </w:r>
    </w:p>
    <w:p w14:paraId="3B78A0BB" w14:textId="77777777" w:rsidR="0071008E" w:rsidRDefault="00635795">
      <w:pPr>
        <w:pStyle w:val="Normal1"/>
        <w:numPr>
          <w:ilvl w:val="1"/>
          <w:numId w:val="3"/>
        </w:numPr>
        <w:spacing w:line="480" w:lineRule="auto"/>
        <w:ind w:left="714" w:hanging="356"/>
      </w:pPr>
      <w:r>
        <w:rPr>
          <w:rFonts w:ascii="Calibri" w:eastAsia="Calibri" w:hAnsi="Calibri" w:cs="Calibri"/>
        </w:rPr>
        <w:t>A stakeholder analysis and a risk assessment statement</w:t>
      </w:r>
    </w:p>
    <w:p w14:paraId="1DBAE9F9" w14:textId="77777777" w:rsidR="0071008E" w:rsidRDefault="0071008E">
      <w:pPr>
        <w:pStyle w:val="Normal1"/>
      </w:pPr>
    </w:p>
    <w:p w14:paraId="26AEA63D" w14:textId="77777777" w:rsidR="0071008E" w:rsidRDefault="00635795">
      <w:pPr>
        <w:pStyle w:val="Normal1"/>
      </w:pPr>
      <w:r>
        <w:rPr>
          <w:rFonts w:ascii="Calibri" w:eastAsia="Calibri" w:hAnsi="Calibri" w:cs="Calibri"/>
        </w:rPr>
        <w:t>ILG funders are particularly seeking to fund projects that:</w:t>
      </w:r>
    </w:p>
    <w:p w14:paraId="152C2F28" w14:textId="77777777" w:rsidR="0071008E" w:rsidRDefault="0071008E">
      <w:pPr>
        <w:pStyle w:val="Normal1"/>
      </w:pPr>
    </w:p>
    <w:p w14:paraId="5B19BF76" w14:textId="77777777" w:rsidR="0071008E" w:rsidRDefault="00635795" w:rsidP="00B2459D">
      <w:pPr>
        <w:pStyle w:val="Normal1"/>
        <w:numPr>
          <w:ilvl w:val="0"/>
          <w:numId w:val="2"/>
        </w:numPr>
        <w:spacing w:line="480" w:lineRule="auto"/>
        <w:ind w:left="714" w:hanging="357"/>
      </w:pPr>
      <w:r>
        <w:rPr>
          <w:rFonts w:ascii="Calibri" w:eastAsia="Calibri" w:hAnsi="Calibri" w:cs="Calibri"/>
        </w:rPr>
        <w:t>demonstrate collaboration between sectors</w:t>
      </w:r>
    </w:p>
    <w:p w14:paraId="05D2F8F9" w14:textId="77777777" w:rsidR="0071008E" w:rsidRDefault="00635795" w:rsidP="00B2459D">
      <w:pPr>
        <w:pStyle w:val="Normal1"/>
        <w:numPr>
          <w:ilvl w:val="0"/>
          <w:numId w:val="2"/>
        </w:numPr>
        <w:spacing w:line="480" w:lineRule="auto"/>
        <w:ind w:left="714" w:hanging="357"/>
      </w:pPr>
      <w:r>
        <w:rPr>
          <w:rFonts w:ascii="Calibri" w:eastAsia="Calibri" w:hAnsi="Calibri" w:cs="Calibri"/>
        </w:rPr>
        <w:t>have tangible, practical benefits (i.e. produces a new process or product with potential application beyond education)</w:t>
      </w:r>
    </w:p>
    <w:p w14:paraId="09A6198A" w14:textId="77777777" w:rsidR="0071008E" w:rsidRDefault="00635795" w:rsidP="00B2459D">
      <w:pPr>
        <w:pStyle w:val="Normal1"/>
        <w:numPr>
          <w:ilvl w:val="0"/>
          <w:numId w:val="2"/>
        </w:numPr>
        <w:spacing w:line="480" w:lineRule="auto"/>
        <w:ind w:left="714" w:hanging="357"/>
      </w:pPr>
      <w:r>
        <w:rPr>
          <w:rFonts w:ascii="Calibri" w:eastAsia="Calibri" w:hAnsi="Calibri" w:cs="Calibri"/>
        </w:rPr>
        <w:t>address current issues affecting areas outside of librarianship (see Appendix1)</w:t>
      </w:r>
    </w:p>
    <w:p w14:paraId="442E75A2" w14:textId="77777777" w:rsidR="0071008E" w:rsidRDefault="00635795" w:rsidP="00B2459D">
      <w:pPr>
        <w:pStyle w:val="Normal1"/>
        <w:numPr>
          <w:ilvl w:val="0"/>
          <w:numId w:val="2"/>
        </w:numPr>
        <w:spacing w:line="480" w:lineRule="auto"/>
        <w:ind w:left="714" w:hanging="357"/>
      </w:pPr>
      <w:r>
        <w:rPr>
          <w:rFonts w:ascii="Calibri" w:eastAsia="Calibri" w:hAnsi="Calibri" w:cs="Calibri"/>
        </w:rPr>
        <w:t xml:space="preserve">show potential for further large scale study, dissemination and exploitation    </w:t>
      </w:r>
    </w:p>
    <w:p w14:paraId="4563B206" w14:textId="77777777" w:rsidR="0071008E" w:rsidRDefault="00635795">
      <w:pPr>
        <w:pStyle w:val="Normal1"/>
      </w:pPr>
      <w:r>
        <w:br w:type="page"/>
      </w:r>
    </w:p>
    <w:p w14:paraId="1CB178C8" w14:textId="77777777" w:rsidR="0071008E" w:rsidRDefault="00635795">
      <w:pPr>
        <w:pStyle w:val="Heading1"/>
      </w:pPr>
      <w:r>
        <w:rPr>
          <w:rFonts w:ascii="Calibri" w:eastAsia="Calibri" w:hAnsi="Calibri" w:cs="Calibri"/>
        </w:rPr>
        <w:lastRenderedPageBreak/>
        <w:t>Appendix 1</w:t>
      </w:r>
    </w:p>
    <w:p w14:paraId="5F735A02" w14:textId="59F58897" w:rsidR="0071008E" w:rsidRDefault="0071008E">
      <w:pPr>
        <w:pStyle w:val="Normal1"/>
      </w:pPr>
    </w:p>
    <w:p w14:paraId="6750F842" w14:textId="77777777" w:rsidR="0071008E" w:rsidRDefault="00635795">
      <w:pPr>
        <w:pStyle w:val="Normal1"/>
      </w:pPr>
      <w:r>
        <w:rPr>
          <w:rFonts w:ascii="Calibri" w:eastAsia="Calibri" w:hAnsi="Calibri" w:cs="Calibri"/>
          <w:b/>
          <w:u w:val="single"/>
        </w:rPr>
        <w:t>Key areas of policy or concern</w:t>
      </w:r>
      <w:r>
        <w:rPr>
          <w:rFonts w:ascii="Calibri" w:eastAsia="Calibri" w:hAnsi="Calibri" w:cs="Calibri"/>
        </w:rPr>
        <w:t xml:space="preserve"> </w:t>
      </w:r>
    </w:p>
    <w:p w14:paraId="2850EDA5" w14:textId="77777777" w:rsidR="0071008E" w:rsidRDefault="00635795">
      <w:pPr>
        <w:pStyle w:val="Normal1"/>
        <w:rPr>
          <w:rFonts w:ascii="Calibri" w:eastAsia="Calibri" w:hAnsi="Calibri" w:cs="Calibri"/>
        </w:rPr>
      </w:pPr>
      <w:r>
        <w:rPr>
          <w:rFonts w:ascii="Calibri" w:eastAsia="Calibri" w:hAnsi="Calibri" w:cs="Calibri"/>
        </w:rPr>
        <w:t>These are some of the areas that the ILG have identified as key areas of policy or concern and, therefore, potential areas of research. These are meant as suggestions only and it is not an exhaustive list.</w:t>
      </w:r>
    </w:p>
    <w:p w14:paraId="46683D8C" w14:textId="77777777" w:rsidR="007C6A3D" w:rsidRDefault="007C6A3D" w:rsidP="007C6A3D">
      <w:pPr>
        <w:pStyle w:val="Heading1"/>
      </w:pPr>
      <w:r>
        <w:t>Topics</w:t>
      </w:r>
    </w:p>
    <w:p w14:paraId="280E0B43" w14:textId="77777777" w:rsidR="007C6A3D" w:rsidRPr="00031EBF" w:rsidRDefault="007C6A3D" w:rsidP="007C6A3D">
      <w:pPr>
        <w:rPr>
          <w:rFonts w:ascii="Calibri" w:hAnsi="Calibri" w:cs="Calibri"/>
        </w:rPr>
      </w:pPr>
      <w:r w:rsidRPr="00031EBF">
        <w:rPr>
          <w:rFonts w:ascii="Calibri" w:hAnsi="Calibri" w:cs="Calibri"/>
        </w:rPr>
        <w:t>Information literacy and:</w:t>
      </w:r>
    </w:p>
    <w:p w14:paraId="3DD2D64B" w14:textId="77777777" w:rsidR="007C6A3D" w:rsidRPr="00031EBF" w:rsidRDefault="007C6A3D" w:rsidP="007C6A3D">
      <w:pPr>
        <w:ind w:firstLine="720"/>
        <w:rPr>
          <w:rFonts w:ascii="Calibri" w:hAnsi="Calibri" w:cs="Calibri"/>
          <w:color w:val="000000"/>
        </w:rPr>
      </w:pPr>
      <w:proofErr w:type="spellStart"/>
      <w:r w:rsidRPr="00031EBF">
        <w:rPr>
          <w:rFonts w:ascii="Calibri" w:hAnsi="Calibri" w:cs="Calibri"/>
          <w:color w:val="000000"/>
        </w:rPr>
        <w:t>Mis</w:t>
      </w:r>
      <w:proofErr w:type="spellEnd"/>
      <w:r w:rsidRPr="00031EBF">
        <w:rPr>
          <w:rFonts w:ascii="Calibri" w:hAnsi="Calibri" w:cs="Calibri"/>
          <w:color w:val="000000"/>
        </w:rPr>
        <w:t>-information in any form</w:t>
      </w:r>
    </w:p>
    <w:p w14:paraId="5C73C3A0" w14:textId="77777777" w:rsidR="007C6A3D" w:rsidRPr="00031EBF" w:rsidRDefault="007C6A3D" w:rsidP="007C6A3D">
      <w:pPr>
        <w:ind w:firstLine="720"/>
        <w:rPr>
          <w:rFonts w:ascii="Calibri" w:hAnsi="Calibri" w:cs="Calibri"/>
          <w:color w:val="000000"/>
        </w:rPr>
      </w:pPr>
      <w:r w:rsidRPr="00031EBF">
        <w:rPr>
          <w:rFonts w:ascii="Calibri" w:hAnsi="Calibri" w:cs="Calibri"/>
          <w:color w:val="000000"/>
        </w:rPr>
        <w:t xml:space="preserve">Social media – especially in relation to negative </w:t>
      </w:r>
      <w:proofErr w:type="spellStart"/>
      <w:r w:rsidRPr="00031EBF">
        <w:rPr>
          <w:rFonts w:ascii="Calibri" w:hAnsi="Calibri" w:cs="Calibri"/>
          <w:color w:val="000000"/>
        </w:rPr>
        <w:t>behaviours</w:t>
      </w:r>
      <w:proofErr w:type="spellEnd"/>
    </w:p>
    <w:p w14:paraId="6024BCCC" w14:textId="0F4D05EB" w:rsidR="007C6A3D" w:rsidRPr="00031EBF" w:rsidRDefault="007C6A3D" w:rsidP="007C6A3D">
      <w:pPr>
        <w:ind w:left="720"/>
        <w:rPr>
          <w:rFonts w:ascii="Calibri" w:hAnsi="Calibri" w:cs="Calibri"/>
          <w:color w:val="000000"/>
        </w:rPr>
      </w:pPr>
      <w:r w:rsidRPr="00031EBF">
        <w:rPr>
          <w:rFonts w:ascii="Calibri" w:hAnsi="Calibri" w:cs="Calibri"/>
          <w:color w:val="000000"/>
        </w:rPr>
        <w:t>Engaged citizenship including politics (this could build on the work of 3 projects</w:t>
      </w:r>
    </w:p>
    <w:p w14:paraId="7C6BB89F" w14:textId="77777777" w:rsidR="007C6A3D" w:rsidRPr="00031EBF" w:rsidRDefault="007C6A3D" w:rsidP="007C6A3D">
      <w:pPr>
        <w:ind w:left="720"/>
        <w:rPr>
          <w:rFonts w:ascii="Calibri" w:hAnsi="Calibri" w:cs="Calibri"/>
          <w:color w:val="000000"/>
        </w:rPr>
      </w:pPr>
      <w:r w:rsidRPr="00031EBF">
        <w:rPr>
          <w:rFonts w:ascii="Calibri" w:hAnsi="Calibri" w:cs="Calibri"/>
          <w:color w:val="000000"/>
        </w:rPr>
        <w:t>Social justice</w:t>
      </w:r>
    </w:p>
    <w:p w14:paraId="4B9695C9" w14:textId="77777777" w:rsidR="007C6A3D" w:rsidRPr="00031EBF" w:rsidRDefault="007C6A3D" w:rsidP="007C6A3D">
      <w:pPr>
        <w:ind w:firstLine="720"/>
        <w:rPr>
          <w:rFonts w:ascii="Calibri" w:hAnsi="Calibri" w:cs="Calibri"/>
          <w:color w:val="000000"/>
        </w:rPr>
      </w:pPr>
      <w:r w:rsidRPr="00031EBF">
        <w:rPr>
          <w:rFonts w:ascii="Calibri" w:hAnsi="Calibri" w:cs="Calibri"/>
          <w:color w:val="000000"/>
        </w:rPr>
        <w:t>Social inclusion – especially addressing the digital divide</w:t>
      </w:r>
    </w:p>
    <w:p w14:paraId="6AFD1AC1" w14:textId="77777777" w:rsidR="007C6A3D" w:rsidRPr="00031EBF" w:rsidRDefault="007C6A3D" w:rsidP="007C6A3D">
      <w:pPr>
        <w:ind w:firstLine="720"/>
        <w:rPr>
          <w:rFonts w:ascii="Calibri" w:hAnsi="Calibri" w:cs="Calibri"/>
          <w:color w:val="000000"/>
        </w:rPr>
      </w:pPr>
      <w:r w:rsidRPr="00031EBF">
        <w:rPr>
          <w:rFonts w:ascii="Calibri" w:hAnsi="Calibri" w:cs="Calibri"/>
          <w:color w:val="000000"/>
        </w:rPr>
        <w:t>Employability</w:t>
      </w:r>
    </w:p>
    <w:p w14:paraId="0AF85D0C" w14:textId="77777777" w:rsidR="007C6A3D" w:rsidRPr="00031EBF" w:rsidRDefault="007C6A3D" w:rsidP="007C6A3D">
      <w:pPr>
        <w:ind w:left="720"/>
        <w:rPr>
          <w:rFonts w:ascii="Calibri" w:hAnsi="Calibri" w:cs="Calibri"/>
          <w:color w:val="000000"/>
        </w:rPr>
      </w:pPr>
      <w:r w:rsidRPr="00031EBF">
        <w:rPr>
          <w:rFonts w:ascii="Calibri" w:hAnsi="Calibri" w:cs="Calibri"/>
          <w:color w:val="000000"/>
        </w:rPr>
        <w:t>Transitional states for example from school to college, college to university, university to work, changing career</w:t>
      </w:r>
    </w:p>
    <w:p w14:paraId="75163D4B" w14:textId="77777777" w:rsidR="007C6A3D" w:rsidRPr="00031EBF" w:rsidRDefault="007C6A3D" w:rsidP="007C6A3D">
      <w:pPr>
        <w:rPr>
          <w:rFonts w:ascii="Calibri" w:hAnsi="Calibri" w:cs="Calibri"/>
          <w:color w:val="000000"/>
        </w:rPr>
      </w:pPr>
      <w:r w:rsidRPr="00031EBF">
        <w:rPr>
          <w:rFonts w:ascii="Calibri" w:hAnsi="Calibri" w:cs="Calibri"/>
          <w:color w:val="000000"/>
        </w:rPr>
        <w:t>Information literacy in a specific context (with special reference to the language people use to describe their information engagement):</w:t>
      </w:r>
    </w:p>
    <w:p w14:paraId="713A5F54" w14:textId="77777777" w:rsidR="007C6A3D" w:rsidRPr="00031EBF" w:rsidRDefault="007C6A3D" w:rsidP="007C6A3D">
      <w:pPr>
        <w:rPr>
          <w:rFonts w:ascii="Calibri" w:hAnsi="Calibri" w:cs="Calibri"/>
          <w:color w:val="000000"/>
        </w:rPr>
      </w:pPr>
      <w:r w:rsidRPr="00031EBF">
        <w:rPr>
          <w:rFonts w:ascii="Calibri" w:hAnsi="Calibri" w:cs="Calibri"/>
          <w:color w:val="000000"/>
        </w:rPr>
        <w:tab/>
        <w:t>Everyday life</w:t>
      </w:r>
    </w:p>
    <w:p w14:paraId="676807BC" w14:textId="77777777" w:rsidR="007C6A3D" w:rsidRPr="00031EBF" w:rsidRDefault="007C6A3D" w:rsidP="007C6A3D">
      <w:pPr>
        <w:ind w:firstLine="720"/>
        <w:rPr>
          <w:rFonts w:ascii="Calibri" w:hAnsi="Calibri" w:cs="Calibri"/>
          <w:color w:val="000000"/>
        </w:rPr>
      </w:pPr>
      <w:r w:rsidRPr="00031EBF">
        <w:rPr>
          <w:rFonts w:ascii="Calibri" w:hAnsi="Calibri" w:cs="Calibri"/>
          <w:color w:val="000000"/>
        </w:rPr>
        <w:t>Workplace/business context (micro-businesses, SMEs, large corporations, social enterprises)</w:t>
      </w:r>
    </w:p>
    <w:p w14:paraId="1CFD98A2" w14:textId="77777777" w:rsidR="007C6A3D" w:rsidRPr="00031EBF" w:rsidRDefault="007C6A3D" w:rsidP="007C6A3D">
      <w:pPr>
        <w:ind w:firstLine="720"/>
        <w:rPr>
          <w:rFonts w:ascii="Calibri" w:hAnsi="Calibri" w:cs="Calibri"/>
          <w:color w:val="000000"/>
        </w:rPr>
      </w:pPr>
      <w:r w:rsidRPr="00031EBF">
        <w:rPr>
          <w:rFonts w:ascii="Calibri" w:hAnsi="Calibri" w:cs="Calibri"/>
          <w:color w:val="000000"/>
        </w:rPr>
        <w:t>Community</w:t>
      </w:r>
    </w:p>
    <w:p w14:paraId="47D53074" w14:textId="77777777" w:rsidR="007C6A3D" w:rsidRPr="00031EBF" w:rsidRDefault="007C6A3D" w:rsidP="007C6A3D">
      <w:pPr>
        <w:ind w:firstLine="720"/>
        <w:rPr>
          <w:rFonts w:ascii="Calibri" w:hAnsi="Calibri" w:cs="Calibri"/>
          <w:color w:val="000000"/>
        </w:rPr>
      </w:pPr>
      <w:r w:rsidRPr="00031EBF">
        <w:rPr>
          <w:rFonts w:ascii="Calibri" w:hAnsi="Calibri" w:cs="Calibri"/>
          <w:color w:val="000000"/>
        </w:rPr>
        <w:t>Education</w:t>
      </w:r>
    </w:p>
    <w:p w14:paraId="58B0B56B" w14:textId="77777777" w:rsidR="007C6A3D" w:rsidRPr="00031EBF" w:rsidRDefault="007C6A3D" w:rsidP="007C6A3D">
      <w:pPr>
        <w:ind w:left="720" w:firstLine="720"/>
        <w:rPr>
          <w:rFonts w:ascii="Calibri" w:hAnsi="Calibri" w:cs="Calibri"/>
          <w:color w:val="000000"/>
        </w:rPr>
      </w:pPr>
      <w:r w:rsidRPr="00031EBF">
        <w:rPr>
          <w:rFonts w:ascii="Calibri" w:hAnsi="Calibri" w:cs="Calibri"/>
          <w:color w:val="000000"/>
        </w:rPr>
        <w:t>School - any Key Stage</w:t>
      </w:r>
    </w:p>
    <w:p w14:paraId="0E2CBD90" w14:textId="77777777" w:rsidR="007C6A3D" w:rsidRPr="00031EBF" w:rsidRDefault="007C6A3D" w:rsidP="007C6A3D">
      <w:pPr>
        <w:ind w:left="720" w:firstLine="720"/>
        <w:rPr>
          <w:rFonts w:ascii="Calibri" w:hAnsi="Calibri" w:cs="Calibri"/>
          <w:color w:val="000000"/>
        </w:rPr>
      </w:pPr>
      <w:r w:rsidRPr="00031EBF">
        <w:rPr>
          <w:rFonts w:ascii="Calibri" w:hAnsi="Calibri" w:cs="Calibri"/>
          <w:color w:val="000000"/>
        </w:rPr>
        <w:t>College</w:t>
      </w:r>
    </w:p>
    <w:p w14:paraId="6571022B" w14:textId="77777777" w:rsidR="007C6A3D" w:rsidRPr="00031EBF" w:rsidRDefault="007C6A3D" w:rsidP="007C6A3D">
      <w:pPr>
        <w:ind w:left="720" w:firstLine="720"/>
        <w:rPr>
          <w:rFonts w:ascii="Calibri" w:hAnsi="Calibri" w:cs="Calibri"/>
          <w:color w:val="000000"/>
        </w:rPr>
      </w:pPr>
      <w:r w:rsidRPr="00031EBF">
        <w:rPr>
          <w:rFonts w:ascii="Calibri" w:hAnsi="Calibri" w:cs="Calibri"/>
          <w:color w:val="000000"/>
        </w:rPr>
        <w:t>Impact in HE with specific reference to the Teaching Excellence Framework</w:t>
      </w:r>
    </w:p>
    <w:p w14:paraId="3B6D290D" w14:textId="77777777" w:rsidR="007C6A3D" w:rsidRPr="00031EBF" w:rsidRDefault="007C6A3D" w:rsidP="007C6A3D">
      <w:pPr>
        <w:ind w:firstLine="720"/>
        <w:rPr>
          <w:rFonts w:ascii="Calibri" w:hAnsi="Calibri" w:cs="Calibri"/>
          <w:color w:val="000000"/>
        </w:rPr>
      </w:pPr>
      <w:r w:rsidRPr="00031EBF">
        <w:rPr>
          <w:rFonts w:ascii="Calibri" w:hAnsi="Calibri" w:cs="Calibri"/>
          <w:color w:val="000000"/>
        </w:rPr>
        <w:t>Health</w:t>
      </w:r>
    </w:p>
    <w:p w14:paraId="65CCB41B" w14:textId="77777777" w:rsidR="007C6A3D" w:rsidRPr="00031EBF" w:rsidRDefault="007C6A3D" w:rsidP="007C6A3D">
      <w:pPr>
        <w:rPr>
          <w:rFonts w:ascii="Calibri" w:hAnsi="Calibri" w:cs="Calibri"/>
          <w:color w:val="000000"/>
        </w:rPr>
      </w:pPr>
      <w:r w:rsidRPr="00031EBF">
        <w:rPr>
          <w:rFonts w:ascii="Calibri" w:hAnsi="Calibri" w:cs="Calibri"/>
          <w:color w:val="000000"/>
        </w:rPr>
        <w:t>Information literacy and well-being</w:t>
      </w:r>
    </w:p>
    <w:p w14:paraId="79266E96" w14:textId="77777777" w:rsidR="007C6A3D" w:rsidRPr="00031EBF" w:rsidRDefault="007C6A3D" w:rsidP="007C6A3D">
      <w:pPr>
        <w:rPr>
          <w:rFonts w:ascii="Calibri" w:hAnsi="Calibri" w:cs="Calibri"/>
          <w:color w:val="000000"/>
        </w:rPr>
      </w:pPr>
      <w:r w:rsidRPr="00031EBF">
        <w:rPr>
          <w:rFonts w:ascii="Calibri" w:hAnsi="Calibri" w:cs="Calibri"/>
          <w:color w:val="000000"/>
        </w:rPr>
        <w:t>Information literacy and environmental sustainability</w:t>
      </w:r>
    </w:p>
    <w:p w14:paraId="526D5738" w14:textId="77777777" w:rsidR="007C6A3D" w:rsidRPr="00031EBF" w:rsidRDefault="007C6A3D" w:rsidP="007C6A3D">
      <w:pPr>
        <w:pStyle w:val="Heading2"/>
        <w:rPr>
          <w:rFonts w:ascii="Calibri" w:hAnsi="Calibri" w:cs="Calibri"/>
          <w:sz w:val="22"/>
          <w:szCs w:val="22"/>
        </w:rPr>
      </w:pPr>
      <w:r w:rsidRPr="00031EBF">
        <w:rPr>
          <w:rFonts w:ascii="Calibri" w:hAnsi="Calibri" w:cs="Calibri"/>
          <w:sz w:val="22"/>
          <w:szCs w:val="22"/>
        </w:rPr>
        <w:t>Potential research questions</w:t>
      </w:r>
    </w:p>
    <w:p w14:paraId="47B7DA62" w14:textId="77777777" w:rsidR="007C6A3D" w:rsidRPr="00031EBF" w:rsidRDefault="007C6A3D" w:rsidP="007C6A3D">
      <w:pPr>
        <w:rPr>
          <w:rFonts w:ascii="Calibri" w:hAnsi="Calibri" w:cs="Calibri"/>
          <w:color w:val="000000"/>
        </w:rPr>
      </w:pPr>
      <w:r w:rsidRPr="00031EBF">
        <w:rPr>
          <w:rFonts w:ascii="Calibri" w:hAnsi="Calibri" w:cs="Calibri"/>
          <w:color w:val="000000"/>
        </w:rPr>
        <w:t xml:space="preserve">Actual research questions, for example, might take the following form: </w:t>
      </w:r>
    </w:p>
    <w:p w14:paraId="7341AFAD" w14:textId="77777777" w:rsidR="007C6A3D" w:rsidRPr="00031EBF" w:rsidRDefault="007C6A3D" w:rsidP="007C6A3D">
      <w:pPr>
        <w:ind w:firstLine="720"/>
        <w:rPr>
          <w:rFonts w:ascii="Calibri" w:hAnsi="Calibri" w:cs="Calibri"/>
          <w:color w:val="000000"/>
        </w:rPr>
      </w:pPr>
      <w:r w:rsidRPr="00031EBF">
        <w:rPr>
          <w:rFonts w:ascii="Calibri" w:hAnsi="Calibri" w:cs="Calibri"/>
          <w:color w:val="000000"/>
        </w:rPr>
        <w:lastRenderedPageBreak/>
        <w:t>In what ways can IL assist in the combating of extremism?</w:t>
      </w:r>
    </w:p>
    <w:p w14:paraId="39FD6407" w14:textId="77777777" w:rsidR="007C6A3D" w:rsidRPr="00031EBF" w:rsidRDefault="007C6A3D" w:rsidP="007C6A3D">
      <w:pPr>
        <w:ind w:firstLine="720"/>
        <w:rPr>
          <w:rFonts w:ascii="Calibri" w:hAnsi="Calibri" w:cs="Calibri"/>
          <w:color w:val="000000"/>
        </w:rPr>
      </w:pPr>
      <w:r w:rsidRPr="00031EBF">
        <w:rPr>
          <w:rFonts w:ascii="Calibri" w:hAnsi="Calibri" w:cs="Calibri"/>
          <w:color w:val="000000"/>
        </w:rPr>
        <w:t>In what ways can IL be of benefit to well-being and health?</w:t>
      </w:r>
    </w:p>
    <w:p w14:paraId="48F334D6" w14:textId="77777777" w:rsidR="007C6A3D" w:rsidRPr="00031EBF" w:rsidRDefault="007C6A3D" w:rsidP="007C6A3D">
      <w:pPr>
        <w:ind w:left="720"/>
        <w:rPr>
          <w:rFonts w:ascii="Calibri" w:hAnsi="Calibri" w:cs="Calibri"/>
          <w:color w:val="000000"/>
        </w:rPr>
      </w:pPr>
      <w:r w:rsidRPr="00031EBF">
        <w:rPr>
          <w:rFonts w:ascii="Calibri" w:hAnsi="Calibri" w:cs="Calibri"/>
          <w:color w:val="000000"/>
        </w:rPr>
        <w:t>How do people talk about their information literacy capabilities in a specific workplace (this could be offices, factories, schools or retail outlets)?</w:t>
      </w:r>
    </w:p>
    <w:p w14:paraId="353EDCD8" w14:textId="77777777" w:rsidR="007C6A3D" w:rsidRPr="00031EBF" w:rsidRDefault="007C6A3D" w:rsidP="007C6A3D">
      <w:pPr>
        <w:rPr>
          <w:rFonts w:ascii="Calibri" w:hAnsi="Calibri" w:cs="Calibri"/>
        </w:rPr>
      </w:pPr>
      <w:r w:rsidRPr="00031EBF">
        <w:rPr>
          <w:rFonts w:ascii="Calibri" w:hAnsi="Calibri" w:cs="Calibri"/>
          <w:color w:val="000000"/>
        </w:rPr>
        <w:t>Initial research questions need to be open and broad enough within the specific context to provide scope for projects to emerge.</w:t>
      </w:r>
    </w:p>
    <w:p w14:paraId="4BBEA5DF" w14:textId="77777777" w:rsidR="0071008E" w:rsidRDefault="00635795">
      <w:pPr>
        <w:pStyle w:val="Normal1"/>
      </w:pPr>
      <w:r>
        <w:br w:type="page"/>
      </w:r>
    </w:p>
    <w:p w14:paraId="6BEE2F2E" w14:textId="77777777" w:rsidR="0071008E" w:rsidRDefault="00635795">
      <w:pPr>
        <w:pStyle w:val="Heading1"/>
      </w:pPr>
      <w:r>
        <w:rPr>
          <w:rFonts w:ascii="Calibri" w:eastAsia="Calibri" w:hAnsi="Calibri" w:cs="Calibri"/>
        </w:rPr>
        <w:lastRenderedPageBreak/>
        <w:t>Appendix 2</w:t>
      </w:r>
    </w:p>
    <w:p w14:paraId="2B94E961" w14:textId="77777777" w:rsidR="0071008E" w:rsidRDefault="0071008E">
      <w:pPr>
        <w:pStyle w:val="Normal1"/>
      </w:pPr>
    </w:p>
    <w:p w14:paraId="0AC9F6D9" w14:textId="77777777" w:rsidR="0071008E" w:rsidRDefault="00635795">
      <w:pPr>
        <w:pStyle w:val="Normal1"/>
      </w:pPr>
      <w:r>
        <w:rPr>
          <w:rFonts w:ascii="Calibri" w:eastAsia="Calibri" w:hAnsi="Calibri" w:cs="Calibri"/>
          <w:b/>
          <w:u w:val="single"/>
        </w:rPr>
        <w:t>Dissemination strategy ideas</w:t>
      </w:r>
    </w:p>
    <w:p w14:paraId="010F96B0" w14:textId="77777777" w:rsidR="0071008E" w:rsidRDefault="0071008E">
      <w:pPr>
        <w:pStyle w:val="Normal1"/>
      </w:pPr>
    </w:p>
    <w:p w14:paraId="4E1485B9" w14:textId="77777777" w:rsidR="0071008E" w:rsidRDefault="00635795">
      <w:pPr>
        <w:pStyle w:val="Normal1"/>
      </w:pPr>
      <w:r>
        <w:rPr>
          <w:rFonts w:ascii="Calibri" w:eastAsia="Calibri" w:hAnsi="Calibri" w:cs="Calibri"/>
        </w:rPr>
        <w:t xml:space="preserve">There are many channels through which a project can be </w:t>
      </w:r>
      <w:proofErr w:type="spellStart"/>
      <w:r>
        <w:rPr>
          <w:rFonts w:ascii="Calibri" w:eastAsia="Calibri" w:hAnsi="Calibri" w:cs="Calibri"/>
        </w:rPr>
        <w:t>publicised</w:t>
      </w:r>
      <w:proofErr w:type="spellEnd"/>
      <w:r>
        <w:rPr>
          <w:rFonts w:ascii="Calibri" w:eastAsia="Calibri" w:hAnsi="Calibri" w:cs="Calibri"/>
        </w:rPr>
        <w:t xml:space="preserve"> and disseminated. Here are a few of them:</w:t>
      </w:r>
    </w:p>
    <w:p w14:paraId="045AF55C" w14:textId="77777777" w:rsidR="0071008E" w:rsidRDefault="0071008E">
      <w:pPr>
        <w:pStyle w:val="Normal1"/>
      </w:pPr>
    </w:p>
    <w:p w14:paraId="30837F9F" w14:textId="77777777" w:rsidR="0071008E" w:rsidRDefault="00635795">
      <w:pPr>
        <w:pStyle w:val="Normal1"/>
        <w:numPr>
          <w:ilvl w:val="0"/>
          <w:numId w:val="4"/>
        </w:numPr>
        <w:spacing w:line="480" w:lineRule="auto"/>
        <w:ind w:left="0" w:hanging="359"/>
      </w:pPr>
      <w:proofErr w:type="spellStart"/>
      <w:r>
        <w:rPr>
          <w:rFonts w:ascii="Calibri" w:eastAsia="Calibri" w:hAnsi="Calibri" w:cs="Calibri"/>
        </w:rPr>
        <w:t>Publicising</w:t>
      </w:r>
      <w:proofErr w:type="spellEnd"/>
      <w:r>
        <w:rPr>
          <w:rFonts w:ascii="Calibri" w:eastAsia="Calibri" w:hAnsi="Calibri" w:cs="Calibri"/>
        </w:rPr>
        <w:t xml:space="preserve"> the project from the outset e.g., through social media</w:t>
      </w:r>
    </w:p>
    <w:p w14:paraId="3FC3CF41" w14:textId="77777777" w:rsidR="0071008E" w:rsidRDefault="00635795">
      <w:pPr>
        <w:pStyle w:val="Normal1"/>
        <w:numPr>
          <w:ilvl w:val="0"/>
          <w:numId w:val="4"/>
        </w:numPr>
        <w:spacing w:line="480" w:lineRule="auto"/>
        <w:ind w:left="0" w:hanging="359"/>
      </w:pPr>
      <w:r>
        <w:rPr>
          <w:rFonts w:ascii="Calibri" w:eastAsia="Calibri" w:hAnsi="Calibri" w:cs="Calibri"/>
        </w:rPr>
        <w:t>publication in a peer reviewed journal</w:t>
      </w:r>
    </w:p>
    <w:p w14:paraId="55F2B7F2" w14:textId="77777777" w:rsidR="0071008E" w:rsidRDefault="00635795">
      <w:pPr>
        <w:pStyle w:val="Normal1"/>
        <w:numPr>
          <w:ilvl w:val="0"/>
          <w:numId w:val="4"/>
        </w:numPr>
        <w:spacing w:line="480" w:lineRule="auto"/>
        <w:ind w:left="0" w:hanging="359"/>
      </w:pPr>
      <w:r>
        <w:rPr>
          <w:rFonts w:ascii="Calibri" w:eastAsia="Calibri" w:hAnsi="Calibri" w:cs="Calibri"/>
        </w:rPr>
        <w:t>publication in other journals with general readership e.g., CILIP Update;</w:t>
      </w:r>
    </w:p>
    <w:p w14:paraId="5B8795C1" w14:textId="77777777" w:rsidR="0071008E" w:rsidRDefault="00635795">
      <w:pPr>
        <w:pStyle w:val="Normal1"/>
        <w:numPr>
          <w:ilvl w:val="0"/>
          <w:numId w:val="4"/>
        </w:numPr>
        <w:spacing w:line="480" w:lineRule="auto"/>
        <w:ind w:left="0" w:hanging="359"/>
      </w:pPr>
      <w:r>
        <w:rPr>
          <w:rFonts w:ascii="Calibri" w:eastAsia="Calibri" w:hAnsi="Calibri" w:cs="Calibri"/>
        </w:rPr>
        <w:t>presentation of a paper at least at one relevant conference (for example LILAC or i3)</w:t>
      </w:r>
    </w:p>
    <w:p w14:paraId="7B88FAF4" w14:textId="77777777" w:rsidR="0071008E" w:rsidRDefault="00635795">
      <w:pPr>
        <w:pStyle w:val="Normal1"/>
        <w:numPr>
          <w:ilvl w:val="0"/>
          <w:numId w:val="4"/>
        </w:numPr>
        <w:spacing w:line="480" w:lineRule="auto"/>
        <w:ind w:left="0" w:hanging="359"/>
      </w:pPr>
      <w:r>
        <w:rPr>
          <w:rFonts w:ascii="Calibri" w:eastAsia="Calibri" w:hAnsi="Calibri" w:cs="Calibri"/>
        </w:rPr>
        <w:t xml:space="preserve">engaging with the media and speaking at one event with an audience beyond education </w:t>
      </w:r>
    </w:p>
    <w:p w14:paraId="51106DC8" w14:textId="77777777" w:rsidR="0071008E" w:rsidRDefault="00635795">
      <w:pPr>
        <w:pStyle w:val="Normal1"/>
        <w:spacing w:line="480" w:lineRule="auto"/>
      </w:pPr>
      <w:r>
        <w:rPr>
          <w:rFonts w:ascii="Calibri" w:eastAsia="Calibri" w:hAnsi="Calibri" w:cs="Calibri"/>
        </w:rPr>
        <w:t xml:space="preserve">As a condition of the funding it is also expected that you will produce a short (1000 word summary) suitable for publication on the Information Literacy website and / or the Journal of Information Literacy in the project report section. </w:t>
      </w:r>
    </w:p>
    <w:sectPr w:rsidR="0071008E">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25953" w14:textId="77777777" w:rsidR="000C7A7D" w:rsidRDefault="000C7A7D">
      <w:r>
        <w:separator/>
      </w:r>
    </w:p>
  </w:endnote>
  <w:endnote w:type="continuationSeparator" w:id="0">
    <w:p w14:paraId="2715E56F" w14:textId="77777777" w:rsidR="000C7A7D" w:rsidRDefault="000C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4A90" w14:textId="71748EB6" w:rsidR="0071008E" w:rsidRDefault="00635795">
    <w:pPr>
      <w:pStyle w:val="Normal1"/>
      <w:tabs>
        <w:tab w:val="center" w:pos="4513"/>
        <w:tab w:val="right" w:pos="9026"/>
      </w:tabs>
    </w:pPr>
    <w:r>
      <w:fldChar w:fldCharType="begin"/>
    </w:r>
    <w:r>
      <w:instrText>PAGE</w:instrText>
    </w:r>
    <w:r>
      <w:fldChar w:fldCharType="separate"/>
    </w:r>
    <w:r w:rsidR="00455C41">
      <w:rPr>
        <w:noProof/>
      </w:rPr>
      <w:t>2</w:t>
    </w:r>
    <w:r>
      <w:fldChar w:fldCharType="end"/>
    </w:r>
    <w:r>
      <w:rPr>
        <w:b/>
      </w:rPr>
      <w:t xml:space="preserve"> | </w:t>
    </w:r>
    <w:r>
      <w:rPr>
        <w:color w:val="808080"/>
      </w:rPr>
      <w:t>Page</w:t>
    </w:r>
  </w:p>
  <w:p w14:paraId="5054436A" w14:textId="77777777" w:rsidR="0071008E" w:rsidRDefault="0071008E">
    <w:pPr>
      <w:pStyle w:val="Normal1"/>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6E14E" w14:textId="77777777" w:rsidR="000C7A7D" w:rsidRDefault="000C7A7D">
      <w:r>
        <w:separator/>
      </w:r>
    </w:p>
  </w:footnote>
  <w:footnote w:type="continuationSeparator" w:id="0">
    <w:p w14:paraId="374A4FA4" w14:textId="77777777" w:rsidR="000C7A7D" w:rsidRDefault="000C7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94AFD"/>
    <w:multiLevelType w:val="multilevel"/>
    <w:tmpl w:val="0FC8E2C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8D070D5"/>
    <w:multiLevelType w:val="multilevel"/>
    <w:tmpl w:val="D1CE7E72"/>
    <w:lvl w:ilvl="0">
      <w:start w:val="1"/>
      <w:numFmt w:val="bullet"/>
      <w:lvlText w:val="●"/>
      <w:lvlJc w:val="left"/>
      <w:pPr>
        <w:ind w:left="1438" w:firstLine="360"/>
      </w:pPr>
      <w:rPr>
        <w:rFonts w:ascii="Arial" w:eastAsia="Arial" w:hAnsi="Arial" w:cs="Arial"/>
        <w:vertAlign w:val="baseline"/>
      </w:rPr>
    </w:lvl>
    <w:lvl w:ilvl="1">
      <w:start w:val="1"/>
      <w:numFmt w:val="bullet"/>
      <w:lvlText w:val="o"/>
      <w:lvlJc w:val="left"/>
      <w:pPr>
        <w:ind w:left="2158" w:firstLine="1080"/>
      </w:pPr>
      <w:rPr>
        <w:rFonts w:ascii="Arial" w:eastAsia="Arial" w:hAnsi="Arial" w:cs="Arial"/>
        <w:vertAlign w:val="baseline"/>
      </w:rPr>
    </w:lvl>
    <w:lvl w:ilvl="2">
      <w:start w:val="1"/>
      <w:numFmt w:val="bullet"/>
      <w:lvlText w:val="▪"/>
      <w:lvlJc w:val="left"/>
      <w:pPr>
        <w:ind w:left="2878" w:firstLine="1800"/>
      </w:pPr>
      <w:rPr>
        <w:rFonts w:ascii="Arial" w:eastAsia="Arial" w:hAnsi="Arial" w:cs="Arial"/>
        <w:vertAlign w:val="baseline"/>
      </w:rPr>
    </w:lvl>
    <w:lvl w:ilvl="3">
      <w:start w:val="1"/>
      <w:numFmt w:val="bullet"/>
      <w:lvlText w:val="●"/>
      <w:lvlJc w:val="left"/>
      <w:pPr>
        <w:ind w:left="3598" w:firstLine="2520"/>
      </w:pPr>
      <w:rPr>
        <w:rFonts w:ascii="Arial" w:eastAsia="Arial" w:hAnsi="Arial" w:cs="Arial"/>
        <w:vertAlign w:val="baseline"/>
      </w:rPr>
    </w:lvl>
    <w:lvl w:ilvl="4">
      <w:start w:val="1"/>
      <w:numFmt w:val="bullet"/>
      <w:lvlText w:val="o"/>
      <w:lvlJc w:val="left"/>
      <w:pPr>
        <w:ind w:left="4318" w:firstLine="3240"/>
      </w:pPr>
      <w:rPr>
        <w:rFonts w:ascii="Arial" w:eastAsia="Arial" w:hAnsi="Arial" w:cs="Arial"/>
        <w:vertAlign w:val="baseline"/>
      </w:rPr>
    </w:lvl>
    <w:lvl w:ilvl="5">
      <w:start w:val="1"/>
      <w:numFmt w:val="bullet"/>
      <w:lvlText w:val="▪"/>
      <w:lvlJc w:val="left"/>
      <w:pPr>
        <w:ind w:left="5038" w:firstLine="3960"/>
      </w:pPr>
      <w:rPr>
        <w:rFonts w:ascii="Arial" w:eastAsia="Arial" w:hAnsi="Arial" w:cs="Arial"/>
        <w:vertAlign w:val="baseline"/>
      </w:rPr>
    </w:lvl>
    <w:lvl w:ilvl="6">
      <w:start w:val="1"/>
      <w:numFmt w:val="bullet"/>
      <w:lvlText w:val="●"/>
      <w:lvlJc w:val="left"/>
      <w:pPr>
        <w:ind w:left="5758" w:firstLine="4680"/>
      </w:pPr>
      <w:rPr>
        <w:rFonts w:ascii="Arial" w:eastAsia="Arial" w:hAnsi="Arial" w:cs="Arial"/>
        <w:vertAlign w:val="baseline"/>
      </w:rPr>
    </w:lvl>
    <w:lvl w:ilvl="7">
      <w:start w:val="1"/>
      <w:numFmt w:val="bullet"/>
      <w:lvlText w:val="o"/>
      <w:lvlJc w:val="left"/>
      <w:pPr>
        <w:ind w:left="6478" w:firstLine="5400"/>
      </w:pPr>
      <w:rPr>
        <w:rFonts w:ascii="Arial" w:eastAsia="Arial" w:hAnsi="Arial" w:cs="Arial"/>
        <w:vertAlign w:val="baseline"/>
      </w:rPr>
    </w:lvl>
    <w:lvl w:ilvl="8">
      <w:start w:val="1"/>
      <w:numFmt w:val="bullet"/>
      <w:lvlText w:val="▪"/>
      <w:lvlJc w:val="left"/>
      <w:pPr>
        <w:ind w:left="7198" w:firstLine="6120"/>
      </w:pPr>
      <w:rPr>
        <w:rFonts w:ascii="Arial" w:eastAsia="Arial" w:hAnsi="Arial" w:cs="Arial"/>
        <w:vertAlign w:val="baseline"/>
      </w:rPr>
    </w:lvl>
  </w:abstractNum>
  <w:abstractNum w:abstractNumId="2" w15:restartNumberingAfterBreak="0">
    <w:nsid w:val="2C5A2719"/>
    <w:multiLevelType w:val="multilevel"/>
    <w:tmpl w:val="5AC231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FCA0BA9"/>
    <w:multiLevelType w:val="multilevel"/>
    <w:tmpl w:val="1C2C48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7AF724F"/>
    <w:multiLevelType w:val="multilevel"/>
    <w:tmpl w:val="43F2FE5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8E"/>
    <w:rsid w:val="00024BFD"/>
    <w:rsid w:val="00031EBF"/>
    <w:rsid w:val="00086F65"/>
    <w:rsid w:val="000C7A7D"/>
    <w:rsid w:val="00133D96"/>
    <w:rsid w:val="001923DA"/>
    <w:rsid w:val="001A4A7D"/>
    <w:rsid w:val="002B4B09"/>
    <w:rsid w:val="0036347F"/>
    <w:rsid w:val="00455C41"/>
    <w:rsid w:val="004E00C8"/>
    <w:rsid w:val="00536DDC"/>
    <w:rsid w:val="0057444C"/>
    <w:rsid w:val="00576D14"/>
    <w:rsid w:val="005A242B"/>
    <w:rsid w:val="00635795"/>
    <w:rsid w:val="00654C73"/>
    <w:rsid w:val="006E75CA"/>
    <w:rsid w:val="0071008E"/>
    <w:rsid w:val="007C6A3D"/>
    <w:rsid w:val="00944702"/>
    <w:rsid w:val="00A92690"/>
    <w:rsid w:val="00AC428D"/>
    <w:rsid w:val="00B2459D"/>
    <w:rsid w:val="00D73BD4"/>
    <w:rsid w:val="00E96BE7"/>
    <w:rsid w:val="00EB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A6AF4"/>
  <w15:docId w15:val="{39C061D7-0F47-4FFE-8840-3CD4D016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A3D"/>
  </w:style>
  <w:style w:type="paragraph" w:styleId="Heading1">
    <w:name w:val="heading 1"/>
    <w:basedOn w:val="Normal"/>
    <w:next w:val="Normal"/>
    <w:link w:val="Heading1Char"/>
    <w:uiPriority w:val="9"/>
    <w:qFormat/>
    <w:rsid w:val="007C6A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6A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6A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6A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C6A3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6A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6A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6A3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C6A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pPr>
    <w:rPr>
      <w:rFonts w:ascii="Times New Roman" w:eastAsia="Times New Roman" w:hAnsi="Times New Roman" w:cs="Times New Roman"/>
      <w:color w:val="000000"/>
    </w:rPr>
  </w:style>
  <w:style w:type="paragraph" w:styleId="Title">
    <w:name w:val="Title"/>
    <w:basedOn w:val="Normal"/>
    <w:next w:val="Normal"/>
    <w:link w:val="TitleChar"/>
    <w:uiPriority w:val="10"/>
    <w:qFormat/>
    <w:rsid w:val="007C6A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6A3D"/>
    <w:pPr>
      <w:numPr>
        <w:ilvl w:val="1"/>
      </w:numPr>
    </w:pPr>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35795"/>
    <w:rPr>
      <w:rFonts w:ascii="Lucida Grande" w:hAnsi="Lucida Grande"/>
      <w:sz w:val="18"/>
      <w:szCs w:val="18"/>
    </w:rPr>
  </w:style>
  <w:style w:type="character" w:customStyle="1" w:styleId="BalloonTextChar">
    <w:name w:val="Balloon Text Char"/>
    <w:basedOn w:val="DefaultParagraphFont"/>
    <w:link w:val="BalloonText"/>
    <w:uiPriority w:val="99"/>
    <w:semiHidden/>
    <w:rsid w:val="00635795"/>
    <w:rPr>
      <w:rFonts w:ascii="Lucida Grande" w:hAnsi="Lucida Grande"/>
      <w:sz w:val="18"/>
      <w:szCs w:val="18"/>
    </w:rPr>
  </w:style>
  <w:style w:type="paragraph" w:styleId="NoSpacing">
    <w:name w:val="No Spacing"/>
    <w:uiPriority w:val="1"/>
    <w:qFormat/>
    <w:rsid w:val="007C6A3D"/>
    <w:pPr>
      <w:spacing w:after="0" w:line="240" w:lineRule="auto"/>
    </w:pPr>
  </w:style>
  <w:style w:type="character" w:customStyle="1" w:styleId="Heading1Char">
    <w:name w:val="Heading 1 Char"/>
    <w:basedOn w:val="DefaultParagraphFont"/>
    <w:link w:val="Heading1"/>
    <w:uiPriority w:val="9"/>
    <w:rsid w:val="007C6A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6A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6A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6A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C6A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6A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C6A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C6A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C6A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C6A3D"/>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7C6A3D"/>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7C6A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C6A3D"/>
    <w:rPr>
      <w:b/>
      <w:bCs/>
    </w:rPr>
  </w:style>
  <w:style w:type="character" w:styleId="Emphasis">
    <w:name w:val="Emphasis"/>
    <w:basedOn w:val="DefaultParagraphFont"/>
    <w:uiPriority w:val="20"/>
    <w:qFormat/>
    <w:rsid w:val="007C6A3D"/>
    <w:rPr>
      <w:i/>
      <w:iCs/>
    </w:rPr>
  </w:style>
  <w:style w:type="paragraph" w:styleId="ListParagraph">
    <w:name w:val="List Paragraph"/>
    <w:basedOn w:val="Normal"/>
    <w:uiPriority w:val="34"/>
    <w:qFormat/>
    <w:rsid w:val="007C6A3D"/>
    <w:pPr>
      <w:ind w:left="720"/>
      <w:contextualSpacing/>
    </w:pPr>
  </w:style>
  <w:style w:type="paragraph" w:styleId="Quote">
    <w:name w:val="Quote"/>
    <w:basedOn w:val="Normal"/>
    <w:next w:val="Normal"/>
    <w:link w:val="QuoteChar"/>
    <w:uiPriority w:val="29"/>
    <w:qFormat/>
    <w:rsid w:val="007C6A3D"/>
    <w:rPr>
      <w:i/>
      <w:iCs/>
      <w:color w:val="000000" w:themeColor="text1"/>
    </w:rPr>
  </w:style>
  <w:style w:type="character" w:customStyle="1" w:styleId="QuoteChar">
    <w:name w:val="Quote Char"/>
    <w:basedOn w:val="DefaultParagraphFont"/>
    <w:link w:val="Quote"/>
    <w:uiPriority w:val="29"/>
    <w:rsid w:val="007C6A3D"/>
    <w:rPr>
      <w:i/>
      <w:iCs/>
      <w:color w:val="000000" w:themeColor="text1"/>
    </w:rPr>
  </w:style>
  <w:style w:type="paragraph" w:styleId="IntenseQuote">
    <w:name w:val="Intense Quote"/>
    <w:basedOn w:val="Normal"/>
    <w:next w:val="Normal"/>
    <w:link w:val="IntenseQuoteChar"/>
    <w:uiPriority w:val="30"/>
    <w:qFormat/>
    <w:rsid w:val="007C6A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6A3D"/>
    <w:rPr>
      <w:b/>
      <w:bCs/>
      <w:i/>
      <w:iCs/>
      <w:color w:val="4F81BD" w:themeColor="accent1"/>
    </w:rPr>
  </w:style>
  <w:style w:type="character" w:styleId="SubtleEmphasis">
    <w:name w:val="Subtle Emphasis"/>
    <w:basedOn w:val="DefaultParagraphFont"/>
    <w:uiPriority w:val="19"/>
    <w:qFormat/>
    <w:rsid w:val="007C6A3D"/>
    <w:rPr>
      <w:i/>
      <w:iCs/>
      <w:color w:val="808080" w:themeColor="text1" w:themeTint="7F"/>
    </w:rPr>
  </w:style>
  <w:style w:type="character" w:styleId="IntenseEmphasis">
    <w:name w:val="Intense Emphasis"/>
    <w:basedOn w:val="DefaultParagraphFont"/>
    <w:uiPriority w:val="21"/>
    <w:qFormat/>
    <w:rsid w:val="007C6A3D"/>
    <w:rPr>
      <w:b/>
      <w:bCs/>
      <w:i/>
      <w:iCs/>
      <w:color w:val="4F81BD" w:themeColor="accent1"/>
    </w:rPr>
  </w:style>
  <w:style w:type="character" w:styleId="SubtleReference">
    <w:name w:val="Subtle Reference"/>
    <w:basedOn w:val="DefaultParagraphFont"/>
    <w:uiPriority w:val="31"/>
    <w:qFormat/>
    <w:rsid w:val="007C6A3D"/>
    <w:rPr>
      <w:smallCaps/>
      <w:color w:val="C0504D" w:themeColor="accent2"/>
      <w:u w:val="single"/>
    </w:rPr>
  </w:style>
  <w:style w:type="character" w:styleId="IntenseReference">
    <w:name w:val="Intense Reference"/>
    <w:basedOn w:val="DefaultParagraphFont"/>
    <w:uiPriority w:val="32"/>
    <w:qFormat/>
    <w:rsid w:val="007C6A3D"/>
    <w:rPr>
      <w:b/>
      <w:bCs/>
      <w:smallCaps/>
      <w:color w:val="C0504D" w:themeColor="accent2"/>
      <w:spacing w:val="5"/>
      <w:u w:val="single"/>
    </w:rPr>
  </w:style>
  <w:style w:type="character" w:styleId="BookTitle">
    <w:name w:val="Book Title"/>
    <w:basedOn w:val="DefaultParagraphFont"/>
    <w:uiPriority w:val="33"/>
    <w:qFormat/>
    <w:rsid w:val="007C6A3D"/>
    <w:rPr>
      <w:b/>
      <w:bCs/>
      <w:smallCaps/>
      <w:spacing w:val="5"/>
    </w:rPr>
  </w:style>
  <w:style w:type="paragraph" w:styleId="TOCHeading">
    <w:name w:val="TOC Heading"/>
    <w:basedOn w:val="Heading1"/>
    <w:next w:val="Normal"/>
    <w:uiPriority w:val="39"/>
    <w:semiHidden/>
    <w:unhideWhenUsed/>
    <w:qFormat/>
    <w:rsid w:val="007C6A3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153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Funding for IL research_FINAL.docx</vt:lpstr>
    </vt:vector>
  </TitlesOfParts>
  <Company>London School of Economics</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for IL research_FINAL.docx</dc:title>
  <dc:creator>Geoff Walton</dc:creator>
  <cp:lastModifiedBy>johnandemma</cp:lastModifiedBy>
  <cp:revision>3</cp:revision>
  <cp:lastPrinted>2016-12-04T20:24:00Z</cp:lastPrinted>
  <dcterms:created xsi:type="dcterms:W3CDTF">2017-09-10T16:55:00Z</dcterms:created>
  <dcterms:modified xsi:type="dcterms:W3CDTF">2017-09-10T16:56:00Z</dcterms:modified>
</cp:coreProperties>
</file>